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8F" w:rsidRPr="00300D8F" w:rsidRDefault="00300D8F" w:rsidP="00300D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NEGOCIOS VERDES, LA NUEVA APUESTA DE LA CRA EN EL ATLÁNTICO</w:t>
      </w:r>
      <w:bookmarkStart w:id="0" w:name="_GoBack"/>
      <w:bookmarkEnd w:id="0"/>
    </w:p>
    <w:p w:rsidR="00300D8F" w:rsidRPr="00300D8F" w:rsidRDefault="00300D8F" w:rsidP="00300D8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br/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“</w:t>
      </w:r>
      <w:r w:rsidRPr="00300D8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>En el Atlántico hay muy buenas iniciativas de negocios verdes, por eso estamos aquí, impulsando un política de implementación de negocios verdes en esta región del país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”. Así lo expresó Ana Karina Quintero, Coordinadora Nacional de Competitividad y Promoción de Negocios Verdes del ministerio de Ambiente y Desarrollo Sostenible</w:t>
      </w:r>
      <w:r w:rsidR="00996AE5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, durante su reciente visita al departamento del Atlántico, para impulsar el tema.</w:t>
      </w:r>
    </w:p>
    <w:p w:rsid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 </w:t>
      </w:r>
    </w:p>
    <w:p w:rsidR="00A365C6" w:rsidRDefault="00A365C6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El Programa Regional del Negocios Verdes</w:t>
      </w:r>
      <w:r w:rsidRPr="00A365C6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obedece a una política nacional y </w:t>
      </w:r>
      <w:r w:rsidRPr="00A365C6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busca potenciar las ventajas comparativas ambientales en cada una de las regiones y permite que el ambiente sea una variable activa en la competitividad del país. A su vez, el programa brinda los parámetros para orientar, articular y contribuir a la implementación, consolidación y fortalecimiento de la oferta y demanda de productos y servicios verdes a nivel regional, nacional e internacional.</w:t>
      </w:r>
    </w:p>
    <w:p w:rsidR="00A365C6" w:rsidRPr="00300D8F" w:rsidRDefault="00A365C6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La Corporación Autónoma Regional del Atlántico, avanza en la identifica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ción de negocios verdes en su jurisdicción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, como una apuesta para este 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año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2016. Ya se han adelant</w:t>
      </w:r>
      <w:r w:rsidR="00996AE5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ado las primeras reuniones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con el fin de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concretar acciones que permitan fomentar 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este tipo de iniciativas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en el departamento, destacándose el avance en la elaboración de un plan de trabajo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entre el 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M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inisterio del ramo y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la autoridad ambiental del Atlántico.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 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“</w:t>
      </w:r>
      <w:r w:rsidRPr="00300D8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>Ya tenemos un plan de trabajo para generar las primeras acciones y conformar a finales del 2016, de la ventanilla de negocios verdes en el departamento</w:t>
      </w:r>
      <w:r w:rsidR="0057462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>,</w:t>
      </w:r>
      <w:r w:rsidRPr="00300D8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 xml:space="preserve"> para comenzar a trabajar con los produc</w:t>
      </w:r>
      <w:r w:rsidR="00574621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>tores de negocios verdes de nuestra</w:t>
      </w:r>
      <w:r w:rsidRPr="00300D8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 xml:space="preserve"> región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, </w:t>
      </w:r>
      <w:r w:rsidRPr="00300D8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es-CO"/>
        </w:rPr>
        <w:t>en criterios de sostenibilidad ambiental, social y económica”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, sostuvo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Alberto Escolar Vega, director de la C.R.A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.</w:t>
      </w:r>
    </w:p>
    <w:p w:rsidR="00574621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Inv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itó a todos los productores de negocios verdes del Atlántico, a que se acerquen a la Corporación y se informen s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obre las estrategias que se vienen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implementando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para promover y fortalecer sus actividades. </w:t>
      </w:r>
    </w:p>
    <w:p w:rsidR="00574621" w:rsidRDefault="00574621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Agregó que  a nivel nacional, existen 168 proyectos de negocios verdes que ya están siendo impulsados por las corporaciones autónomas regionales y que se tiene una alta expectativa para el departamento del Atlántico.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 </w:t>
      </w:r>
    </w:p>
    <w:p w:rsidR="00574621" w:rsidRDefault="00574621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</w:pPr>
    </w:p>
    <w:p w:rsidR="00574621" w:rsidRDefault="00574621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</w:pP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ABC DE LOS NEGOCIOS VERDES</w:t>
      </w:r>
    </w:p>
    <w:p w:rsidR="00930577" w:rsidRDefault="00930577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color w:val="000000"/>
          <w:sz w:val="24"/>
          <w:szCs w:val="24"/>
          <w:u w:val="single"/>
          <w:lang w:eastAsia="es-CO"/>
        </w:rPr>
      </w:pPr>
    </w:p>
    <w:p w:rsidR="00300D8F" w:rsidRPr="00116BEE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116BEE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¿Qué son los negocios verdes?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 </w:t>
      </w:r>
    </w:p>
    <w:p w:rsid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Un negocio verde contempla las actividades económicas en las que se ofertan bienes o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servicios, que generan impacto ambiental positivo y además incorpora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buenas prácticas ambientales, sociales y económicas con enfoque de ciclo de vida, contribuyendo a la conservación, uso eficiente de recursos, usos sostenibles de la biodiversidad, del ambiente como capital natural que soporta el desarrollo del Departamento. </w:t>
      </w:r>
    </w:p>
    <w:p w:rsidR="00930577" w:rsidRDefault="00930577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930577" w:rsidRDefault="00930577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000000"/>
          <w:sz w:val="24"/>
          <w:szCs w:val="24"/>
          <w:lang w:eastAsia="es-CO"/>
        </w:rPr>
      </w:pPr>
      <w:r w:rsidRPr="00930577">
        <w:rPr>
          <w:rFonts w:ascii="Verdana" w:eastAsia="Times New Roman" w:hAnsi="Verdana" w:cs="Helvetica"/>
          <w:b/>
          <w:color w:val="000000"/>
          <w:sz w:val="24"/>
          <w:szCs w:val="24"/>
          <w:lang w:eastAsia="es-CO"/>
        </w:rPr>
        <w:t xml:space="preserve">Cómo identificar </w:t>
      </w:r>
      <w:r w:rsidRPr="00930577">
        <w:rPr>
          <w:rFonts w:ascii="Verdana" w:eastAsia="Times New Roman" w:hAnsi="Verdana" w:cs="Helvetica"/>
          <w:b/>
          <w:color w:val="000000"/>
          <w:sz w:val="24"/>
          <w:szCs w:val="24"/>
          <w:lang w:eastAsia="es-CO"/>
        </w:rPr>
        <w:t>los bienes y servicios de negocios verdes y sostenibles</w:t>
      </w:r>
      <w:proofErr w:type="gramStart"/>
      <w:r w:rsidRPr="00930577">
        <w:rPr>
          <w:rFonts w:ascii="Verdana" w:eastAsia="Times New Roman" w:hAnsi="Verdana" w:cs="Helvetica"/>
          <w:b/>
          <w:color w:val="000000"/>
          <w:sz w:val="24"/>
          <w:szCs w:val="24"/>
          <w:lang w:eastAsia="es-CO"/>
        </w:rPr>
        <w:t>?</w:t>
      </w:r>
      <w:proofErr w:type="gramEnd"/>
    </w:p>
    <w:p w:rsidR="00116BEE" w:rsidRPr="00930577" w:rsidRDefault="00116BEE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000000"/>
          <w:sz w:val="24"/>
          <w:szCs w:val="24"/>
          <w:lang w:eastAsia="es-CO"/>
        </w:rPr>
      </w:pPr>
    </w:p>
    <w:p w:rsidR="00930577" w:rsidRPr="00930577" w:rsidRDefault="00930577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Es necesario </w:t>
      </w:r>
      <w:r w:rsidR="00574621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verificar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si</w:t>
      </w:r>
      <w:r w:rsidRPr="00930577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:</w:t>
      </w:r>
    </w:p>
    <w:p w:rsidR="00930577" w:rsidRPr="00930577" w:rsidRDefault="00930577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930577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• Promueve patrones de producción y consumo sostenibles de bienes y servicios de los negocios verdes y sostenibles.</w:t>
      </w:r>
    </w:p>
    <w:p w:rsidR="00930577" w:rsidRPr="00930577" w:rsidRDefault="00930577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930577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• Propicia la creación de una cultura alineada con principios ambientales, sociales y éticos.</w:t>
      </w:r>
    </w:p>
    <w:p w:rsidR="00930577" w:rsidRPr="00930577" w:rsidRDefault="00930577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930577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• Facilita la toma de decisiones a los consumidores (públicos o privados) al momento de elegir un bien y servicio.</w:t>
      </w:r>
    </w:p>
    <w:p w:rsidR="00930577" w:rsidRPr="00300D8F" w:rsidRDefault="00930577" w:rsidP="009305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930577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• Visibiliza una oferta de bienes y servicios de cara al mercado nacional e internacional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 </w:t>
      </w:r>
    </w:p>
    <w:p w:rsidR="00300D8F" w:rsidRDefault="00930577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Categorías de negocios verdes</w:t>
      </w:r>
      <w:r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.</w:t>
      </w:r>
    </w:p>
    <w:p w:rsidR="00930577" w:rsidRPr="00300D8F" w:rsidRDefault="00930577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Existen tres categorías de negocios verdes, que se describen así:</w:t>
      </w:r>
    </w:p>
    <w:p w:rsidR="00116BEE" w:rsidRPr="00300D8F" w:rsidRDefault="00116BEE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116BE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es-CO"/>
        </w:rPr>
        <w:t>Bienes y servicios sostenibles provenientes Recursos Naturales:</w:t>
      </w:r>
      <w:r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 Agricultura Ecológica, </w:t>
      </w:r>
      <w:proofErr w:type="spellStart"/>
      <w:r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Biocomercio</w:t>
      </w:r>
      <w:proofErr w:type="spellEnd"/>
      <w:r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, Ecoturismo, Fauna y Flora, Restauración.</w:t>
      </w:r>
    </w:p>
    <w:p w:rsidR="00116BEE" w:rsidRPr="00116BEE" w:rsidRDefault="00116BEE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Default="00574621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116BE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es-CO"/>
        </w:rPr>
        <w:t>Eco productos</w:t>
      </w:r>
      <w:r w:rsidR="00300D8F" w:rsidRPr="00116BE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es-CO"/>
        </w:rPr>
        <w:t xml:space="preserve"> Industriales:</w:t>
      </w:r>
      <w:r w:rsidR="00300D8F"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 Fuentes no convencionales de energía, aprovechamiento de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r</w:t>
      </w:r>
      <w:r w:rsidR="00300D8F"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esiduos y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c</w:t>
      </w:r>
      <w:r w:rsidR="00300D8F"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onstrucción </w:t>
      </w: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s</w:t>
      </w:r>
      <w:r w:rsidR="00300D8F"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ostenible.</w:t>
      </w:r>
    </w:p>
    <w:p w:rsidR="00116BEE" w:rsidRPr="00116BEE" w:rsidRDefault="00116BEE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116BEE">
        <w:rPr>
          <w:rFonts w:ascii="Verdana" w:eastAsia="Times New Roman" w:hAnsi="Verdana" w:cs="Helvetica"/>
          <w:b/>
          <w:bCs/>
          <w:i/>
          <w:iCs/>
          <w:color w:val="000000"/>
          <w:sz w:val="24"/>
          <w:szCs w:val="24"/>
          <w:lang w:eastAsia="es-CO"/>
        </w:rPr>
        <w:t>Mercado de carbono</w:t>
      </w:r>
      <w:r w:rsidRPr="00116BEE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>:</w:t>
      </w:r>
      <w:r w:rsidRPr="00300D8F"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Mercados regulados y no regulados.</w:t>
      </w:r>
    </w:p>
    <w:p w:rsid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Para los interesados en conocer más acerca de esta nueva apuesta de negocios en el sector ambiental y conocer los incentivos que pueden tener por promover un medio ambiente sano, la Corporación ha habilitado el siguiente link en su portal web institucional </w:t>
      </w:r>
      <w:hyperlink r:id="rId5" w:history="1">
        <w:r w:rsidRPr="00097B2D">
          <w:rPr>
            <w:rStyle w:val="Hipervnculo"/>
            <w:rFonts w:ascii="Verdana" w:eastAsia="Times New Roman" w:hAnsi="Verdana" w:cs="Helvetica"/>
            <w:sz w:val="24"/>
            <w:szCs w:val="24"/>
            <w:lang w:eastAsia="es-CO"/>
          </w:rPr>
          <w:t>http://www.crautonoma.gov.co/index.php/Ambiental/negocio-verde</w:t>
        </w:r>
      </w:hyperlink>
      <w:r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  <w:t xml:space="preserve"> 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t> </w:t>
      </w:r>
    </w:p>
    <w:p w:rsidR="00300D8F" w:rsidRPr="00300D8F" w:rsidRDefault="00300D8F" w:rsidP="00300D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  <w:lang w:eastAsia="es-CO"/>
        </w:rPr>
      </w:pPr>
      <w:r w:rsidRPr="00300D8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es-CO"/>
        </w:rPr>
        <w:lastRenderedPageBreak/>
        <w:t>OFICINA DE COMUNICACIONES CRA</w:t>
      </w:r>
    </w:p>
    <w:p w:rsidR="00D4469C" w:rsidRPr="00100535" w:rsidRDefault="00D4469C" w:rsidP="00100535"/>
    <w:sectPr w:rsidR="00D4469C" w:rsidRPr="00100535" w:rsidSect="00266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9C"/>
    <w:rsid w:val="000A2414"/>
    <w:rsid w:val="00100535"/>
    <w:rsid w:val="00116BEE"/>
    <w:rsid w:val="001456CF"/>
    <w:rsid w:val="00170B34"/>
    <w:rsid w:val="0026607C"/>
    <w:rsid w:val="00300D8F"/>
    <w:rsid w:val="0037637B"/>
    <w:rsid w:val="003B13CB"/>
    <w:rsid w:val="003D2465"/>
    <w:rsid w:val="0047330F"/>
    <w:rsid w:val="00574621"/>
    <w:rsid w:val="005A22BE"/>
    <w:rsid w:val="006160DE"/>
    <w:rsid w:val="00663162"/>
    <w:rsid w:val="00671EBE"/>
    <w:rsid w:val="007F113C"/>
    <w:rsid w:val="00844460"/>
    <w:rsid w:val="00930577"/>
    <w:rsid w:val="00996AE5"/>
    <w:rsid w:val="009B33FB"/>
    <w:rsid w:val="00A365C6"/>
    <w:rsid w:val="00BA09E5"/>
    <w:rsid w:val="00D07B68"/>
    <w:rsid w:val="00D4469C"/>
    <w:rsid w:val="00D61E32"/>
    <w:rsid w:val="00D62C13"/>
    <w:rsid w:val="00E32CA8"/>
    <w:rsid w:val="00E960F9"/>
    <w:rsid w:val="00EC4D9E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62C13"/>
  </w:style>
  <w:style w:type="paragraph" w:styleId="Textodeglobo">
    <w:name w:val="Balloon Text"/>
    <w:basedOn w:val="Normal"/>
    <w:link w:val="TextodegloboCar"/>
    <w:uiPriority w:val="99"/>
    <w:semiHidden/>
    <w:unhideWhenUsed/>
    <w:rsid w:val="0061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0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1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6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5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6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2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7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6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1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65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utonoma.gov.co/index.php/Ambiental/negocio-ve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dcterms:created xsi:type="dcterms:W3CDTF">2016-04-11T13:58:00Z</dcterms:created>
  <dcterms:modified xsi:type="dcterms:W3CDTF">2016-08-08T19:44:00Z</dcterms:modified>
</cp:coreProperties>
</file>